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83" w:rsidRDefault="00BD5DD8">
      <w:pPr>
        <w:pStyle w:val="Title"/>
        <w:rPr>
          <w:rFonts w:hint="eastAsia"/>
        </w:rPr>
      </w:pPr>
      <w:bookmarkStart w:id="0" w:name="_GoBack"/>
      <w:bookmarkEnd w:id="0"/>
      <w:r>
        <w:t>Mining: The brave new world -Managing Project Risk - AMPLA Conference</w:t>
      </w:r>
    </w:p>
    <w:p w:rsidR="00822083" w:rsidRPr="00DA7D2E" w:rsidRDefault="00BD5DD8" w:rsidP="00062DF3">
      <w:pPr>
        <w:pStyle w:val="Body2"/>
        <w:rPr>
          <w:rFonts w:hint="eastAsia"/>
          <w:b/>
        </w:rPr>
      </w:pPr>
      <w:r w:rsidRPr="00DA7D2E">
        <w:rPr>
          <w:b/>
        </w:rPr>
        <w:t>The Canadian Experience</w:t>
      </w:r>
      <w:r w:rsidRPr="00DA7D2E">
        <w:rPr>
          <w:b/>
        </w:rPr>
        <w:t xml:space="preserve"> by David Bursey</w:t>
      </w:r>
    </w:p>
    <w:p w:rsidR="00822083" w:rsidRPr="00062DF3" w:rsidRDefault="00BD5DD8" w:rsidP="00062DF3">
      <w:pPr>
        <w:pStyle w:val="Body2"/>
        <w:rPr>
          <w:rFonts w:hint="eastAsia"/>
          <w:i/>
        </w:rPr>
      </w:pPr>
      <w:r w:rsidRPr="00062DF3">
        <w:rPr>
          <w:i/>
        </w:rPr>
        <w:t>Lessons learned, best practice &amp; emerging trends in Canada</w:t>
      </w:r>
    </w:p>
    <w:p w:rsidR="00822083" w:rsidRDefault="00BD5DD8" w:rsidP="00062DF3">
      <w:pPr>
        <w:pStyle w:val="Body2"/>
        <w:ind w:left="240"/>
        <w:rPr>
          <w:rFonts w:hint="eastAsia"/>
        </w:rPr>
      </w:pPr>
    </w:p>
    <w:p w:rsidR="0045674E" w:rsidRDefault="00BD5DD8" w:rsidP="00062DF3">
      <w:pPr>
        <w:pStyle w:val="Body2"/>
        <w:rPr>
          <w:rFonts w:hint="eastAsia"/>
        </w:rPr>
      </w:pPr>
      <w:r>
        <w:t>The Canadian and Aust</w:t>
      </w:r>
      <w:r>
        <w:t xml:space="preserve">ralian experiences are similar because </w:t>
      </w:r>
      <w:r>
        <w:t xml:space="preserve">the digital age of </w:t>
      </w:r>
      <w:r>
        <w:t>communications has broadened the debate on development and environmental issues to the global stage.</w:t>
      </w:r>
      <w:r>
        <w:t xml:space="preserve">  </w:t>
      </w:r>
    </w:p>
    <w:p w:rsidR="0045674E" w:rsidRDefault="00BD5DD8" w:rsidP="00062DF3">
      <w:pPr>
        <w:pStyle w:val="Body2"/>
        <w:rPr>
          <w:rFonts w:hint="eastAsia"/>
        </w:rPr>
      </w:pPr>
    </w:p>
    <w:p w:rsidR="006B6F99" w:rsidRPr="00FD01A7" w:rsidRDefault="00BD5DD8" w:rsidP="006B6F99">
      <w:pPr>
        <w:pStyle w:val="Body2"/>
        <w:rPr>
          <w:rFonts w:hint="eastAsia"/>
          <w:u w:val="single"/>
        </w:rPr>
      </w:pPr>
      <w:r w:rsidRPr="00FD01A7">
        <w:rPr>
          <w:u w:val="single"/>
        </w:rPr>
        <w:t>Public interests &amp; priorities</w:t>
      </w:r>
    </w:p>
    <w:p w:rsidR="0025181D" w:rsidRDefault="00BD5DD8" w:rsidP="00062DF3">
      <w:pPr>
        <w:pStyle w:val="Body2"/>
        <w:rPr>
          <w:rFonts w:hint="eastAsia"/>
        </w:rPr>
      </w:pPr>
      <w:r>
        <w:t>Canadian m</w:t>
      </w:r>
      <w:r>
        <w:t xml:space="preserve">ining projects – like all natural resource projects – must understand and </w:t>
      </w:r>
      <w:r>
        <w:t>manage the social perception of</w:t>
      </w:r>
      <w:r>
        <w:t xml:space="preserve"> enviro</w:t>
      </w:r>
      <w:r>
        <w:t>nmental and public safety</w:t>
      </w:r>
      <w:r>
        <w:t xml:space="preserve"> risk. </w:t>
      </w:r>
      <w:r>
        <w:t xml:space="preserve"> </w:t>
      </w:r>
      <w:r>
        <w:t>The public has an</w:t>
      </w:r>
      <w:r>
        <w:t xml:space="preserve"> increasing</w:t>
      </w:r>
      <w:r>
        <w:t xml:space="preserve"> expectation of</w:t>
      </w:r>
      <w:r>
        <w:t xml:space="preserve"> participation in the approvals process</w:t>
      </w:r>
      <w:r>
        <w:t>,</w:t>
      </w:r>
      <w:r>
        <w:t xml:space="preserve"> which adds challenges, effort and cost to the approval process.  </w:t>
      </w:r>
    </w:p>
    <w:p w:rsidR="0025181D" w:rsidRDefault="00BD5DD8" w:rsidP="00062DF3">
      <w:pPr>
        <w:pStyle w:val="Body2"/>
        <w:rPr>
          <w:rFonts w:hint="eastAsia"/>
        </w:rPr>
      </w:pPr>
    </w:p>
    <w:p w:rsidR="001D2A5F" w:rsidRDefault="00BD5DD8" w:rsidP="00062DF3">
      <w:pPr>
        <w:pStyle w:val="Body2"/>
        <w:rPr>
          <w:rFonts w:hint="eastAsia"/>
        </w:rPr>
      </w:pPr>
      <w:r>
        <w:t>Most people form opinions based on factors other than the facts – i.e. t</w:t>
      </w:r>
      <w:r>
        <w:t xml:space="preserve">here values, beliefs, trust, control over decisions, perception of risk.  (See </w:t>
      </w:r>
      <w:r>
        <w:t xml:space="preserve">the work of Vincent </w:t>
      </w:r>
      <w:r>
        <w:t>Covello</w:t>
      </w:r>
      <w:r>
        <w:t xml:space="preserve"> on public communication of risk and </w:t>
      </w:r>
      <w:r>
        <w:t>“</w:t>
      </w:r>
      <w:r>
        <w:t>outrage f</w:t>
      </w:r>
      <w:r>
        <w:t>actors”).  Social perception is shaped by new forms of communication.  Anyone with a smart phone is a p</w:t>
      </w:r>
      <w:r>
        <w:t xml:space="preserve">hoto-journalist. </w:t>
      </w:r>
      <w:r>
        <w:t xml:space="preserve"> </w:t>
      </w:r>
    </w:p>
    <w:p w:rsidR="001D2A5F" w:rsidRDefault="00BD5DD8" w:rsidP="00062DF3">
      <w:pPr>
        <w:pStyle w:val="Body2"/>
        <w:rPr>
          <w:rFonts w:hint="eastAsia"/>
        </w:rPr>
      </w:pPr>
    </w:p>
    <w:p w:rsidR="00E62892" w:rsidRDefault="00BD5DD8" w:rsidP="00062DF3">
      <w:pPr>
        <w:pStyle w:val="Body2"/>
        <w:rPr>
          <w:rFonts w:hint="eastAsia"/>
        </w:rPr>
      </w:pPr>
      <w:r>
        <w:t xml:space="preserve">Understand the leading public issues </w:t>
      </w:r>
      <w:r>
        <w:t xml:space="preserve">– e.g. </w:t>
      </w:r>
      <w:r>
        <w:t>a strong interest in climate change</w:t>
      </w:r>
      <w:r>
        <w:t xml:space="preserve">.  Participants in a project review will also be </w:t>
      </w:r>
      <w:r>
        <w:t xml:space="preserve">concerned </w:t>
      </w:r>
      <w:r>
        <w:t xml:space="preserve">about the fairness of the social and geographic </w:t>
      </w:r>
      <w:r>
        <w:t xml:space="preserve">distribution of </w:t>
      </w:r>
      <w:r>
        <w:t>benefits and risks associate</w:t>
      </w:r>
      <w:r>
        <w:rPr>
          <w:rFonts w:hint="eastAsia"/>
        </w:rPr>
        <w:t>d</w:t>
      </w:r>
      <w:r>
        <w:t xml:space="preserve"> with</w:t>
      </w:r>
      <w:r>
        <w:t xml:space="preserve"> a development project</w:t>
      </w:r>
      <w:r>
        <w:t xml:space="preserve">. </w:t>
      </w:r>
      <w:r>
        <w:t xml:space="preserve"> Development i</w:t>
      </w:r>
      <w:r>
        <w:t>ndustry</w:t>
      </w:r>
      <w:r>
        <w:t>,</w:t>
      </w:r>
      <w:r>
        <w:t xml:space="preserve"> as a whole</w:t>
      </w:r>
      <w:r>
        <w:t>,</w:t>
      </w:r>
      <w:r>
        <w:t xml:space="preserve"> </w:t>
      </w:r>
      <w:r>
        <w:t>must</w:t>
      </w:r>
      <w:r>
        <w:t xml:space="preserve"> respond to high profile </w:t>
      </w:r>
      <w:r>
        <w:t>events</w:t>
      </w:r>
      <w:r>
        <w:t xml:space="preserve"> – such as </w:t>
      </w:r>
      <w:r>
        <w:t>tailing pond failure</w:t>
      </w:r>
      <w:r>
        <w:t xml:space="preserve">s or </w:t>
      </w:r>
      <w:r>
        <w:t>orphan sites with legacy issues</w:t>
      </w:r>
      <w:r>
        <w:t>.  All subsequent projects are judged against the</w:t>
      </w:r>
      <w:r>
        <w:t>se</w:t>
      </w:r>
      <w:r>
        <w:t xml:space="preserve"> high profile events.  Another major fairness issue in Canada is the reconciliation of </w:t>
      </w:r>
      <w:r>
        <w:t xml:space="preserve">Crown rights </w:t>
      </w:r>
      <w:r>
        <w:t>with A</w:t>
      </w:r>
      <w:r>
        <w:t>boriginal rights.</w:t>
      </w:r>
      <w:r>
        <w:t xml:space="preserve">  The increasing profile of the </w:t>
      </w:r>
      <w:r w:rsidRPr="00076580">
        <w:rPr>
          <w:i/>
        </w:rPr>
        <w:t>United Nations Declaration on the Rights of Indigenous Peoples</w:t>
      </w:r>
      <w:r>
        <w:t xml:space="preserve"> is a focal point of this issue in Cana</w:t>
      </w:r>
      <w:r>
        <w:t>da.</w:t>
      </w:r>
    </w:p>
    <w:p w:rsidR="00E62892" w:rsidRDefault="00BD5DD8" w:rsidP="00062DF3">
      <w:pPr>
        <w:pStyle w:val="Body2"/>
        <w:rPr>
          <w:rFonts w:hint="eastAsia"/>
        </w:rPr>
      </w:pPr>
    </w:p>
    <w:p w:rsidR="00E62892" w:rsidRDefault="00BD5DD8" w:rsidP="00062DF3">
      <w:pPr>
        <w:pStyle w:val="Body2"/>
        <w:rPr>
          <w:rFonts w:hint="eastAsia"/>
        </w:rPr>
      </w:pPr>
      <w:r>
        <w:t xml:space="preserve">The </w:t>
      </w:r>
      <w:r>
        <w:t>interest in greater</w:t>
      </w:r>
      <w:r>
        <w:t xml:space="preserve"> public participation </w:t>
      </w:r>
      <w:r>
        <w:t>reflects</w:t>
      </w:r>
      <w:r>
        <w:t xml:space="preserve"> a lack of trust in </w:t>
      </w:r>
      <w:r>
        <w:t xml:space="preserve">public </w:t>
      </w:r>
      <w:r>
        <w:t xml:space="preserve">institutions. Trust is the foundation for social acceptance. </w:t>
      </w:r>
      <w:r>
        <w:t>Resource developers</w:t>
      </w:r>
      <w:r>
        <w:t xml:space="preserve"> must </w:t>
      </w:r>
      <w:r>
        <w:t xml:space="preserve">build </w:t>
      </w:r>
      <w:r>
        <w:t>their</w:t>
      </w:r>
      <w:r>
        <w:t xml:space="preserve"> own public trust to move forward.</w:t>
      </w:r>
      <w:r>
        <w:t xml:space="preserve">  Companies must </w:t>
      </w:r>
      <w:r>
        <w:t>devote considerable att</w:t>
      </w:r>
      <w:r>
        <w:t>ention to enhancing</w:t>
      </w:r>
      <w:r>
        <w:t xml:space="preserve"> corporate reputation, ethical practice and social responsibility.</w:t>
      </w:r>
    </w:p>
    <w:p w:rsidR="0045674E" w:rsidRDefault="00BD5DD8" w:rsidP="00062DF3">
      <w:pPr>
        <w:pStyle w:val="Body2"/>
        <w:rPr>
          <w:rFonts w:hint="eastAsia"/>
        </w:rPr>
      </w:pPr>
    </w:p>
    <w:p w:rsidR="001A4FB6" w:rsidRDefault="00BD5DD8" w:rsidP="001A4FB6">
      <w:pPr>
        <w:pStyle w:val="Body2"/>
        <w:rPr>
          <w:rFonts w:hint="eastAsia"/>
        </w:rPr>
      </w:pPr>
      <w:r>
        <w:t xml:space="preserve">Avoid using the term “social licence to operate”.  It is an </w:t>
      </w:r>
      <w:r>
        <w:t xml:space="preserve">abstract </w:t>
      </w:r>
      <w:r>
        <w:t>concept</w:t>
      </w:r>
      <w:r>
        <w:t xml:space="preserve"> that </w:t>
      </w:r>
      <w:r>
        <w:t xml:space="preserve">creates differing expectations.  </w:t>
      </w:r>
      <w:r>
        <w:rPr>
          <w:rFonts w:hint="eastAsia"/>
        </w:rPr>
        <w:t>T</w:t>
      </w:r>
      <w:r>
        <w:t xml:space="preserve">he focus on </w:t>
      </w:r>
      <w:r>
        <w:t>permissio</w:t>
      </w:r>
      <w:r>
        <w:t>n – a licence – rather than on s</w:t>
      </w:r>
      <w:r>
        <w:t>ocially responsible performance e</w:t>
      </w:r>
      <w:r>
        <w:t>mphasizes a governance role that is vague and unachievable.  In the end, it is not helpful</w:t>
      </w:r>
      <w:r>
        <w:t xml:space="preserve"> to build trust and enhance corporate reputation</w:t>
      </w:r>
      <w:r>
        <w:t>.</w:t>
      </w:r>
      <w:r>
        <w:t xml:space="preserve">  </w:t>
      </w:r>
    </w:p>
    <w:p w:rsidR="001A4FB6" w:rsidRDefault="00BD5DD8" w:rsidP="001A4FB6">
      <w:pPr>
        <w:pStyle w:val="Body2"/>
        <w:rPr>
          <w:rFonts w:hint="eastAsia"/>
        </w:rPr>
      </w:pPr>
    </w:p>
    <w:p w:rsidR="0045674E" w:rsidRDefault="00BD5DD8" w:rsidP="00FD01A7">
      <w:pPr>
        <w:pStyle w:val="Body2"/>
        <w:rPr>
          <w:rFonts w:hint="eastAsia"/>
        </w:rPr>
      </w:pPr>
      <w:r>
        <w:t>Innovations in communication technology and social media have revolutionized how</w:t>
      </w:r>
      <w:r>
        <w:t xml:space="preserve"> public debates on resource developments unfold.  Public sentiment can be influenced and organized in ways that were unknown even a decade ago.  Social engagement has changed and is continuing to evolve at a dramatic pace. Project developers and industry a</w:t>
      </w:r>
      <w:r>
        <w:t>ssociations must be involved in shaping public opinion.</w:t>
      </w:r>
    </w:p>
    <w:p w:rsidR="0045674E" w:rsidRDefault="00BD5DD8" w:rsidP="00FD01A7">
      <w:pPr>
        <w:pStyle w:val="Body2"/>
        <w:rPr>
          <w:rFonts w:hint="eastAsia"/>
        </w:rPr>
      </w:pPr>
    </w:p>
    <w:p w:rsidR="00822083" w:rsidRPr="003A277C" w:rsidRDefault="00BD5DD8" w:rsidP="003A277C">
      <w:pPr>
        <w:pStyle w:val="Body2"/>
        <w:rPr>
          <w:rFonts w:hint="eastAsia"/>
          <w:u w:val="single"/>
        </w:rPr>
      </w:pPr>
      <w:r w:rsidRPr="00FD01A7">
        <w:rPr>
          <w:u w:val="single"/>
        </w:rPr>
        <w:t>Government Policies Affecting Development</w:t>
      </w:r>
    </w:p>
    <w:p w:rsidR="00822083" w:rsidRPr="00C55A20" w:rsidRDefault="00BD5DD8" w:rsidP="00C55A20">
      <w:pPr>
        <w:pStyle w:val="Body2"/>
        <w:rPr>
          <w:rFonts w:hint="eastAsia"/>
          <w:i/>
        </w:rPr>
      </w:pPr>
      <w:r w:rsidRPr="00C55A20">
        <w:rPr>
          <w:i/>
        </w:rPr>
        <w:t>Strategic Directions</w:t>
      </w:r>
    </w:p>
    <w:p w:rsidR="00C55A20" w:rsidRDefault="00BD5DD8" w:rsidP="00C55A20">
      <w:pPr>
        <w:pStyle w:val="Body2"/>
        <w:rPr>
          <w:rFonts w:hint="eastAsia"/>
        </w:rPr>
      </w:pPr>
      <w:r>
        <w:t xml:space="preserve">The Canadian Minerals and Metals Plan sets out </w:t>
      </w:r>
      <w:r>
        <w:t xml:space="preserve">several </w:t>
      </w:r>
      <w:r>
        <w:t xml:space="preserve">strategic directions for projects in </w:t>
      </w:r>
      <w:r>
        <w:t>Canada</w:t>
      </w:r>
      <w:r>
        <w:t xml:space="preserve">. These directions reflect government </w:t>
      </w:r>
      <w:r>
        <w:t>responding to social issues.  They</w:t>
      </w:r>
      <w:r>
        <w:t xml:space="preserve"> foc</w:t>
      </w:r>
      <w:r>
        <w:t xml:space="preserve">us on economic competitiveness; </w:t>
      </w:r>
      <w:r>
        <w:t>advancing the parti</w:t>
      </w:r>
      <w:r>
        <w:t xml:space="preserve">cipation of Indigenous peoples; protection of the environment; </w:t>
      </w:r>
      <w:r>
        <w:t>main</w:t>
      </w:r>
      <w:r>
        <w:t xml:space="preserve">taining an innovative approach; engaging with communities; </w:t>
      </w:r>
      <w:r>
        <w:t>and increased global leadership for Canad</w:t>
      </w:r>
      <w:r>
        <w:t xml:space="preserve">a. </w:t>
      </w:r>
    </w:p>
    <w:p w:rsidR="00822083" w:rsidRDefault="00BD5DD8" w:rsidP="001F7172">
      <w:pPr>
        <w:pStyle w:val="Body2"/>
        <w:ind w:left="240"/>
        <w:rPr>
          <w:rFonts w:hint="eastAsia"/>
        </w:rPr>
      </w:pPr>
    </w:p>
    <w:p w:rsidR="00822083" w:rsidRDefault="00BD5DD8" w:rsidP="002B2235">
      <w:pPr>
        <w:pStyle w:val="Body2"/>
        <w:keepNext/>
        <w:rPr>
          <w:rFonts w:hint="eastAsia"/>
          <w:i/>
        </w:rPr>
      </w:pPr>
      <w:r w:rsidRPr="001F7172">
        <w:rPr>
          <w:i/>
        </w:rPr>
        <w:lastRenderedPageBreak/>
        <w:t>Environmental assessment &amp; Project Review</w:t>
      </w:r>
    </w:p>
    <w:p w:rsidR="002B2235" w:rsidRDefault="00BD5DD8" w:rsidP="00C86F99">
      <w:pPr>
        <w:pStyle w:val="Body2"/>
        <w:rPr>
          <w:rFonts w:hint="eastAsia"/>
        </w:rPr>
      </w:pPr>
      <w:r>
        <w:t>The federal and provincial governments are interested in reforming environmental assessments of project</w:t>
      </w:r>
      <w:r>
        <w:t xml:space="preserve">. There is a current push to build public confidence through project reviews and public participation. The interested parties' tests have been </w:t>
      </w:r>
      <w:r>
        <w:t>eliminated</w:t>
      </w:r>
      <w:r>
        <w:t xml:space="preserve"> resulting in greater opportunities for public participation.</w:t>
      </w:r>
      <w:r>
        <w:t xml:space="preserve"> There is an increasing public demand for </w:t>
      </w:r>
      <w:r>
        <w:t xml:space="preserve">strong conditions for projects and follow through by Government departments. </w:t>
      </w:r>
      <w:r>
        <w:t>T</w:t>
      </w:r>
      <w:r>
        <w:t xml:space="preserve">here is </w:t>
      </w:r>
      <w:r>
        <w:t xml:space="preserve">also </w:t>
      </w:r>
      <w:r>
        <w:t>a public focus on the end of life processes including environmental liability</w:t>
      </w:r>
      <w:r>
        <w:t xml:space="preserve"> after closure and reclamation. Finally, t</w:t>
      </w:r>
      <w:r>
        <w:t xml:space="preserve">here is </w:t>
      </w:r>
      <w:r>
        <w:t>increased indigenous community involve</w:t>
      </w:r>
      <w:r>
        <w:t xml:space="preserve">ment in decision-making. </w:t>
      </w:r>
      <w:r>
        <w:t xml:space="preserve">Canada's </w:t>
      </w:r>
      <w:r>
        <w:t xml:space="preserve">cumulative effects assessment involves looking at both upstream and downstream effects, including GHG emissions. </w:t>
      </w:r>
    </w:p>
    <w:p w:rsidR="002B2235" w:rsidRDefault="00BD5DD8" w:rsidP="00C86F99">
      <w:pPr>
        <w:pStyle w:val="Body2"/>
        <w:rPr>
          <w:rFonts w:hint="eastAsia"/>
        </w:rPr>
      </w:pPr>
    </w:p>
    <w:p w:rsidR="00822083" w:rsidRDefault="00BD5DD8" w:rsidP="00C86F99">
      <w:pPr>
        <w:pStyle w:val="Body2"/>
        <w:rPr>
          <w:rFonts w:hint="eastAsia"/>
        </w:rPr>
      </w:pPr>
      <w:r>
        <w:t>These</w:t>
      </w:r>
      <w:r>
        <w:t xml:space="preserve"> </w:t>
      </w:r>
      <w:r>
        <w:t>reforms involve</w:t>
      </w:r>
      <w:r>
        <w:t xml:space="preserve"> more process, </w:t>
      </w:r>
      <w:r>
        <w:t xml:space="preserve">time, </w:t>
      </w:r>
      <w:r>
        <w:t xml:space="preserve">cost and </w:t>
      </w:r>
      <w:r>
        <w:t>effort.  To be successful, project developers must devot</w:t>
      </w:r>
      <w:r>
        <w:t>e more time to front-end planning and community engagemen</w:t>
      </w:r>
      <w:r>
        <w:rPr>
          <w:rFonts w:hint="eastAsia"/>
        </w:rPr>
        <w:t>t</w:t>
      </w:r>
      <w:r>
        <w:t xml:space="preserve"> to build support.</w:t>
      </w:r>
    </w:p>
    <w:p w:rsidR="00822083" w:rsidRDefault="00BD5DD8" w:rsidP="00C86F99">
      <w:pPr>
        <w:pStyle w:val="Body2"/>
        <w:rPr>
          <w:rFonts w:hint="eastAsia"/>
        </w:rPr>
      </w:pPr>
    </w:p>
    <w:p w:rsidR="00822083" w:rsidRPr="004A2896" w:rsidRDefault="00BD5DD8" w:rsidP="004A2896">
      <w:pPr>
        <w:pStyle w:val="Body2"/>
        <w:rPr>
          <w:rFonts w:hint="eastAsia"/>
          <w:i/>
        </w:rPr>
      </w:pPr>
      <w:r w:rsidRPr="004A2896">
        <w:rPr>
          <w:i/>
        </w:rPr>
        <w:t>Climate change policy</w:t>
      </w:r>
    </w:p>
    <w:p w:rsidR="00822083" w:rsidRDefault="00BD5DD8" w:rsidP="004A2896">
      <w:pPr>
        <w:pStyle w:val="Body2"/>
        <w:rPr>
          <w:rFonts w:hint="eastAsia"/>
        </w:rPr>
      </w:pPr>
      <w:r>
        <w:t>Canada supports</w:t>
      </w:r>
      <w:r>
        <w:t xml:space="preserve"> the </w:t>
      </w:r>
      <w:r w:rsidRPr="002B2235">
        <w:rPr>
          <w:i/>
        </w:rPr>
        <w:t>Paris A</w:t>
      </w:r>
      <w:r w:rsidRPr="002B2235">
        <w:rPr>
          <w:i/>
        </w:rPr>
        <w:t>greement</w:t>
      </w:r>
      <w:r>
        <w:t xml:space="preserve"> and has implemented a </w:t>
      </w:r>
      <w:r w:rsidRPr="002B2235">
        <w:rPr>
          <w:i/>
        </w:rPr>
        <w:t>Pan-Canadian Framework on Clean Growth and Climate Change</w:t>
      </w:r>
      <w:r>
        <w:t>. The framework focuses on carbon targets</w:t>
      </w:r>
      <w:r>
        <w:t>, regulation and pricing. However there is a different approach across provinces, for example British Columbia has already implemented a Carbon tax, whereas Ontario and Quebec have taken a hybrid approach. The Federal Government also has a separate climate</w:t>
      </w:r>
      <w:r>
        <w:t xml:space="preserve"> change policy.</w:t>
      </w:r>
    </w:p>
    <w:p w:rsidR="00822083" w:rsidRDefault="00BD5DD8" w:rsidP="004A2896">
      <w:pPr>
        <w:pStyle w:val="Body2"/>
        <w:rPr>
          <w:rFonts w:hint="eastAsia"/>
        </w:rPr>
      </w:pPr>
    </w:p>
    <w:p w:rsidR="004A2896" w:rsidRDefault="00BD5DD8" w:rsidP="004A2896">
      <w:pPr>
        <w:pStyle w:val="Body2"/>
        <w:rPr>
          <w:rFonts w:hint="eastAsia"/>
        </w:rPr>
      </w:pPr>
      <w:r w:rsidRPr="007A1D42">
        <w:rPr>
          <w:i/>
        </w:rPr>
        <w:t>Aboriginal rights in Canada</w:t>
      </w:r>
      <w:r>
        <w:t xml:space="preserve"> </w:t>
      </w:r>
    </w:p>
    <w:p w:rsidR="00F1418C" w:rsidRDefault="00BD5DD8" w:rsidP="00B51007">
      <w:pPr>
        <w:pStyle w:val="Body2"/>
        <w:rPr>
          <w:rFonts w:hint="eastAsia"/>
        </w:rPr>
      </w:pPr>
      <w:r>
        <w:t>Indigenous rights in Canada are p</w:t>
      </w:r>
      <w:r>
        <w:t xml:space="preserve">rotected in </w:t>
      </w:r>
      <w:r>
        <w:t>the C</w:t>
      </w:r>
      <w:r>
        <w:t>onstitution</w:t>
      </w:r>
      <w:r>
        <w:t>. Aboriginal</w:t>
      </w:r>
      <w:r>
        <w:t xml:space="preserve"> rights fall along a spectrum of rights from</w:t>
      </w:r>
      <w:r>
        <w:t>: 1)</w:t>
      </w:r>
      <w:r>
        <w:t xml:space="preserve"> cultural practices not connected to land (language, dress), </w:t>
      </w:r>
      <w:r>
        <w:t xml:space="preserve">2) cultural </w:t>
      </w:r>
      <w:r>
        <w:t xml:space="preserve">practices </w:t>
      </w:r>
      <w:r>
        <w:t>connect</w:t>
      </w:r>
      <w:r>
        <w:t>ed</w:t>
      </w:r>
      <w:r>
        <w:t xml:space="preserve"> to land (gathering, hunting, </w:t>
      </w:r>
      <w:r>
        <w:t>and fis</w:t>
      </w:r>
      <w:r>
        <w:rPr>
          <w:rFonts w:hint="eastAsia"/>
        </w:rPr>
        <w:t>hing</w:t>
      </w:r>
      <w:r>
        <w:t>),</w:t>
      </w:r>
      <w:r>
        <w:t xml:space="preserve"> and 3) the right to the land and its resources. Aboriginal title is paramount to all other titles, including the Crown's title. </w:t>
      </w:r>
    </w:p>
    <w:p w:rsidR="00F1418C" w:rsidRDefault="00BD5DD8" w:rsidP="00B51007">
      <w:pPr>
        <w:pStyle w:val="Body2"/>
        <w:rPr>
          <w:rFonts w:hint="eastAsia"/>
        </w:rPr>
      </w:pPr>
    </w:p>
    <w:p w:rsidR="00220700" w:rsidRDefault="00BD5DD8" w:rsidP="00220700">
      <w:pPr>
        <w:pStyle w:val="Body2"/>
        <w:rPr>
          <w:rFonts w:hint="eastAsia"/>
        </w:rPr>
      </w:pPr>
      <w:r>
        <w:t xml:space="preserve">Many parts of Canada are covered by treaties with defined treaty rights, </w:t>
      </w:r>
      <w:r>
        <w:t xml:space="preserve">and other parts are not covered by treaty so the rights are not yet defined.  In all cases, the Crown must act honourably in all decisions that might affect treaty or aboriginal rights (proven or asserted).  </w:t>
      </w:r>
      <w:r w:rsidRPr="00220700">
        <w:t>The</w:t>
      </w:r>
      <w:r>
        <w:t xml:space="preserve"> related Crown</w:t>
      </w:r>
      <w:r w:rsidRPr="00220700">
        <w:t xml:space="preserve"> duty to consult and accommodat</w:t>
      </w:r>
      <w:r w:rsidRPr="00220700">
        <w:t>e is based on the principle</w:t>
      </w:r>
      <w:r>
        <w:t xml:space="preserve"> </w:t>
      </w:r>
      <w:r w:rsidRPr="00220700">
        <w:t>that the “honor of the Crown” requires the Crown to consider the</w:t>
      </w:r>
      <w:r>
        <w:t xml:space="preserve"> </w:t>
      </w:r>
      <w:r w:rsidRPr="00220700">
        <w:t>impact of its actions (such as the approval of resource development</w:t>
      </w:r>
      <w:r>
        <w:t xml:space="preserve"> </w:t>
      </w:r>
      <w:r w:rsidRPr="00220700">
        <w:t xml:space="preserve">projects) on </w:t>
      </w:r>
      <w:r>
        <w:t>a</w:t>
      </w:r>
      <w:r w:rsidRPr="00220700">
        <w:t>boriginal rights.</w:t>
      </w:r>
      <w:r>
        <w:t xml:space="preserve">  When an a</w:t>
      </w:r>
      <w:r w:rsidRPr="00220700">
        <w:t>boriginal right may be affected, the Crown must</w:t>
      </w:r>
      <w:r>
        <w:t xml:space="preserve"> </w:t>
      </w:r>
      <w:r w:rsidRPr="00220700">
        <w:t>consu</w:t>
      </w:r>
      <w:r w:rsidRPr="00220700">
        <w:t xml:space="preserve">lt the </w:t>
      </w:r>
      <w:r>
        <w:t>Indigenous group</w:t>
      </w:r>
      <w:r w:rsidRPr="00220700">
        <w:t xml:space="preserve"> to assess the impact and determine how</w:t>
      </w:r>
      <w:r>
        <w:t xml:space="preserve"> </w:t>
      </w:r>
      <w:r w:rsidRPr="00220700">
        <w:t>the impact can be mitigated</w:t>
      </w:r>
      <w:r>
        <w:t>.</w:t>
      </w:r>
    </w:p>
    <w:p w:rsidR="00E62702" w:rsidRDefault="00BD5DD8" w:rsidP="00220700">
      <w:pPr>
        <w:pStyle w:val="Body2"/>
        <w:rPr>
          <w:rFonts w:hint="eastAsia"/>
        </w:rPr>
      </w:pPr>
    </w:p>
    <w:p w:rsidR="00E62702" w:rsidRDefault="00BD5DD8" w:rsidP="00220700">
      <w:pPr>
        <w:pStyle w:val="Body2"/>
        <w:rPr>
          <w:rFonts w:hint="eastAsia"/>
        </w:rPr>
      </w:pPr>
      <w:r>
        <w:t>In practice, most of the work to discharge the Crown’s duty to consult and accommodate is transferred to the project developer.  In many ways, this cost and effort</w:t>
      </w:r>
      <w:r>
        <w:t xml:space="preserve"> becomes an informal licence fee. Most developers try to work out a project benefit-sharing agreement to obtain consent for a project. </w:t>
      </w:r>
    </w:p>
    <w:p w:rsidR="00220700" w:rsidRDefault="00BD5DD8" w:rsidP="00B51007">
      <w:pPr>
        <w:pStyle w:val="Body2"/>
        <w:rPr>
          <w:rFonts w:hint="eastAsia"/>
        </w:rPr>
      </w:pPr>
    </w:p>
    <w:p w:rsidR="00822083" w:rsidRDefault="00BD5DD8" w:rsidP="00B51007">
      <w:pPr>
        <w:pStyle w:val="Body2"/>
        <w:rPr>
          <w:rFonts w:hint="eastAsia"/>
        </w:rPr>
      </w:pPr>
      <w:r>
        <w:t>Canada al</w:t>
      </w:r>
      <w:r>
        <w:t>so has plans to implement the</w:t>
      </w:r>
      <w:r>
        <w:t xml:space="preserve"> UN</w:t>
      </w:r>
      <w:r>
        <w:t>DRIP in Canadian law</w:t>
      </w:r>
      <w:r>
        <w:t xml:space="preserve">. </w:t>
      </w:r>
      <w:r>
        <w:t>A</w:t>
      </w:r>
      <w:r>
        <w:t xml:space="preserve"> key concept of the declaration</w:t>
      </w:r>
      <w:r>
        <w:t xml:space="preserve"> related project develop</w:t>
      </w:r>
      <w:r>
        <w:t>ment the concept of “</w:t>
      </w:r>
      <w:r>
        <w:t>free, prior and informed consent</w:t>
      </w:r>
      <w:r>
        <w:t>”</w:t>
      </w:r>
      <w:r>
        <w:t>.</w:t>
      </w:r>
      <w:r>
        <w:t xml:space="preserve">  This concept has been widely misunderstood as a veto – i.e. an absolute decision-making right – but this view is incorrect.</w:t>
      </w:r>
    </w:p>
    <w:p w:rsidR="009B1478" w:rsidRDefault="00BD5DD8" w:rsidP="00B51007">
      <w:pPr>
        <w:pStyle w:val="Body2"/>
        <w:rPr>
          <w:rFonts w:hint="eastAsia"/>
        </w:rPr>
      </w:pPr>
    </w:p>
    <w:p w:rsidR="009B1478" w:rsidRDefault="00BD5DD8" w:rsidP="00B51007">
      <w:pPr>
        <w:pStyle w:val="Body2"/>
        <w:rPr>
          <w:rFonts w:hint="eastAsia"/>
        </w:rPr>
      </w:pPr>
      <w:r>
        <w:t>According to UNDRIP Articles 9 and 32, the</w:t>
      </w:r>
      <w:r w:rsidRPr="008F40B1">
        <w:t xml:space="preserve"> concept of FPIC, which applies </w:t>
      </w:r>
      <w:r w:rsidRPr="008F40B1">
        <w:t>only to established rights and contemplates "consulting and cooperating in good faith with Indigenous peoples … in order to obtain their free and informed prior consent".</w:t>
      </w:r>
      <w:r w:rsidRPr="009B1478">
        <w:t xml:space="preserve"> </w:t>
      </w:r>
      <w:r w:rsidRPr="008F40B1">
        <w:t>The</w:t>
      </w:r>
      <w:r>
        <w:t xml:space="preserve"> federal government has issued</w:t>
      </w:r>
      <w:r w:rsidRPr="008F40B1">
        <w:t xml:space="preserve"> Federal Principles </w:t>
      </w:r>
      <w:r>
        <w:t xml:space="preserve">that </w:t>
      </w:r>
      <w:r w:rsidRPr="008F40B1">
        <w:t xml:space="preserve">clarify that the objective </w:t>
      </w:r>
      <w:r w:rsidRPr="008F40B1">
        <w:t>is to seek consent</w:t>
      </w:r>
      <w:r>
        <w:t>, but consent is not essential.  Aboriginal rights may be infringed if there is compelling public interests that justify the infringemen</w:t>
      </w:r>
      <w:r>
        <w:rPr>
          <w:rFonts w:hint="eastAsia"/>
        </w:rPr>
        <w:t>t</w:t>
      </w:r>
      <w:r>
        <w:t xml:space="preserve">. </w:t>
      </w:r>
    </w:p>
    <w:p w:rsidR="00220700" w:rsidRDefault="00BD5DD8" w:rsidP="00B51007">
      <w:pPr>
        <w:pStyle w:val="Body2"/>
        <w:rPr>
          <w:rFonts w:hint="eastAsia"/>
        </w:rPr>
      </w:pPr>
    </w:p>
    <w:p w:rsidR="00822083" w:rsidRPr="00B51007" w:rsidRDefault="00BD5DD8" w:rsidP="00B51007">
      <w:pPr>
        <w:pStyle w:val="Body2"/>
        <w:rPr>
          <w:rFonts w:hint="eastAsia"/>
          <w:i/>
        </w:rPr>
      </w:pPr>
      <w:r w:rsidRPr="00B51007">
        <w:rPr>
          <w:i/>
        </w:rPr>
        <w:t xml:space="preserve">Trade issues </w:t>
      </w:r>
    </w:p>
    <w:p w:rsidR="00623742" w:rsidRDefault="00BD5DD8" w:rsidP="00623742">
      <w:pPr>
        <w:pStyle w:val="Body2"/>
        <w:rPr>
          <w:rFonts w:hint="eastAsia"/>
        </w:rPr>
      </w:pPr>
      <w:r>
        <w:t xml:space="preserve">Canada is </w:t>
      </w:r>
      <w:r>
        <w:t>affected</w:t>
      </w:r>
      <w:r>
        <w:t xml:space="preserve"> by a disruptive and uncertain trade relationship with the United States. The disruption creates both trade</w:t>
      </w:r>
      <w:r>
        <w:t xml:space="preserve"> opportunities and challenges.  The importance of Canada seeking other trading p</w:t>
      </w:r>
      <w:r>
        <w:t xml:space="preserve">artners has never been greater.  </w:t>
      </w:r>
      <w:r>
        <w:t>Canada is increasing its attention t</w:t>
      </w:r>
      <w:r>
        <w:t xml:space="preserve">o enhancing its other trade relationships. </w:t>
      </w:r>
      <w:r>
        <w:t xml:space="preserve"> </w:t>
      </w:r>
    </w:p>
    <w:p w:rsidR="00822083" w:rsidRDefault="00BD5DD8" w:rsidP="00623742">
      <w:pPr>
        <w:pStyle w:val="Body2"/>
        <w:rPr>
          <w:rFonts w:hint="eastAsia"/>
        </w:rPr>
      </w:pPr>
    </w:p>
    <w:p w:rsidR="00822083" w:rsidRDefault="00BD5DD8" w:rsidP="00E13AD6">
      <w:pPr>
        <w:pStyle w:val="Body2"/>
        <w:keepNext/>
        <w:rPr>
          <w:rFonts w:hint="eastAsia"/>
          <w:u w:val="single"/>
        </w:rPr>
      </w:pPr>
      <w:r w:rsidRPr="00FD01A7">
        <w:rPr>
          <w:u w:val="single"/>
        </w:rPr>
        <w:t xml:space="preserve">Recent </w:t>
      </w:r>
      <w:r>
        <w:rPr>
          <w:u w:val="single"/>
        </w:rPr>
        <w:t xml:space="preserve">Experience with </w:t>
      </w:r>
      <w:r w:rsidRPr="00FD01A7">
        <w:rPr>
          <w:u w:val="single"/>
        </w:rPr>
        <w:t>Major Projects</w:t>
      </w:r>
    </w:p>
    <w:p w:rsidR="00E13AD6" w:rsidRDefault="00BD5DD8" w:rsidP="00DA7D2E">
      <w:pPr>
        <w:pStyle w:val="Body2"/>
        <w:rPr>
          <w:rFonts w:hint="eastAsia"/>
        </w:rPr>
      </w:pPr>
      <w:r w:rsidRPr="00623742">
        <w:t>The recent</w:t>
      </w:r>
      <w:r>
        <w:t xml:space="preserve"> Canadian experience shows </w:t>
      </w:r>
      <w:r>
        <w:t>an often lengthy approval</w:t>
      </w:r>
      <w:r>
        <w:t>s</w:t>
      </w:r>
      <w:r>
        <w:t xml:space="preserve"> process</w:t>
      </w:r>
      <w:r>
        <w:t>, and associated judicial challenges to approvals.  Litigation associated with environmental issues a</w:t>
      </w:r>
      <w:r>
        <w:t>nd aboriginal rights issues is common.</w:t>
      </w:r>
    </w:p>
    <w:p w:rsidR="00E13AD6" w:rsidRDefault="00BD5DD8" w:rsidP="00DA7D2E">
      <w:pPr>
        <w:pStyle w:val="Body2"/>
        <w:rPr>
          <w:rFonts w:hint="eastAsia"/>
        </w:rPr>
      </w:pPr>
    </w:p>
    <w:p w:rsidR="00E13AD6" w:rsidRDefault="00BD5DD8" w:rsidP="00DA7D2E">
      <w:pPr>
        <w:pStyle w:val="Body2"/>
        <w:rPr>
          <w:rFonts w:hint="eastAsia"/>
        </w:rPr>
      </w:pPr>
      <w:r>
        <w:t>Major Projects are affected by social causes that often extend beyond the impact of the project</w:t>
      </w:r>
      <w:r>
        <w:t xml:space="preserve"> area</w:t>
      </w:r>
      <w:r>
        <w:t>, such as climate change</w:t>
      </w:r>
      <w:r>
        <w:t>, aboriginal rights, labour policies, procurement practices</w:t>
      </w:r>
      <w:r>
        <w:t xml:space="preserve"> or social responsibility policies</w:t>
      </w:r>
      <w:r>
        <w:t xml:space="preserve">. </w:t>
      </w:r>
    </w:p>
    <w:p w:rsidR="00E13AD6" w:rsidRDefault="00BD5DD8" w:rsidP="00DA7D2E">
      <w:pPr>
        <w:pStyle w:val="Body2"/>
        <w:rPr>
          <w:rFonts w:hint="eastAsia"/>
        </w:rPr>
      </w:pPr>
    </w:p>
    <w:p w:rsidR="00E13AD6" w:rsidRDefault="00BD5DD8" w:rsidP="00DA7D2E">
      <w:pPr>
        <w:pStyle w:val="Body2"/>
        <w:rPr>
          <w:rFonts w:hint="eastAsia"/>
        </w:rPr>
      </w:pPr>
      <w:r>
        <w:t>Regulators have been taking a ca</w:t>
      </w:r>
      <w:r>
        <w:t>utious approach to approvals, meaning p</w:t>
      </w:r>
      <w:r>
        <w:t xml:space="preserve">roponents need to create and maintain a good relationship with government to achieve timely approvals. It is often hard for a </w:t>
      </w:r>
      <w:r>
        <w:t>private company to co</w:t>
      </w:r>
      <w:r>
        <w:t xml:space="preserve">nvince stakeholders </w:t>
      </w:r>
      <w:r>
        <w:t xml:space="preserve">of the importance of their project. The focus moving forward should be to undertake early planning and early engagement. </w:t>
      </w:r>
    </w:p>
    <w:p w:rsidR="00E13AD6" w:rsidRDefault="00BD5DD8" w:rsidP="00DA7D2E">
      <w:pPr>
        <w:pStyle w:val="Body2"/>
        <w:rPr>
          <w:rFonts w:hint="eastAsia"/>
        </w:rPr>
      </w:pPr>
    </w:p>
    <w:p w:rsidR="00822083" w:rsidRDefault="00BD5DD8" w:rsidP="00DA7D2E">
      <w:pPr>
        <w:pStyle w:val="Body2"/>
        <w:rPr>
          <w:rFonts w:hint="eastAsia"/>
        </w:rPr>
      </w:pPr>
      <w:r>
        <w:t xml:space="preserve">Project developer must </w:t>
      </w:r>
      <w:r>
        <w:t>listen to external</w:t>
      </w:r>
      <w:r>
        <w:t xml:space="preserve"> points of view to understand the i</w:t>
      </w:r>
      <w:r>
        <w:t>ssues that are likely to arise</w:t>
      </w:r>
      <w:r>
        <w:t xml:space="preserve"> during</w:t>
      </w:r>
      <w:r>
        <w:t xml:space="preserve"> </w:t>
      </w:r>
      <w:r>
        <w:t>a public project review</w:t>
      </w:r>
      <w:r>
        <w:t xml:space="preserve">.  Early planning and community engagement is essential to success. </w:t>
      </w:r>
      <w:r>
        <w:t xml:space="preserve"> First impressions are imp</w:t>
      </w:r>
      <w:r>
        <w:t xml:space="preserve">ortant, and they last a long time. </w:t>
      </w:r>
    </w:p>
    <w:p w:rsidR="00FD01A7" w:rsidRDefault="00BD5DD8" w:rsidP="00FD01A7">
      <w:pPr>
        <w:pStyle w:val="Body2"/>
        <w:ind w:left="240"/>
        <w:rPr>
          <w:rFonts w:hint="eastAsia"/>
        </w:rPr>
      </w:pPr>
    </w:p>
    <w:sectPr w:rsidR="00FD01A7">
      <w:headerReference w:type="default" r:id="rId7"/>
      <w:footerReference w:type="default" r:id="rId8"/>
      <w:pgSz w:w="11906" w:h="16838"/>
      <w:pgMar w:top="1598" w:right="1440" w:bottom="1440" w:left="1440" w:header="1195"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D5DD8">
      <w:r>
        <w:separator/>
      </w:r>
    </w:p>
  </w:endnote>
  <w:endnote w:type="continuationSeparator" w:id="0">
    <w:p w:rsidR="00000000" w:rsidRDefault="00BD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83" w:rsidRDefault="00BD5DD8">
    <w:pPr>
      <w:pStyle w:val="HeaderFooter"/>
      <w:tabs>
        <w:tab w:val="clear" w:pos="9020"/>
        <w:tab w:val="center" w:pos="4513"/>
        <w:tab w:val="right" w:pos="9026"/>
      </w:tabs>
      <w:rPr>
        <w:rFonts w:hint="eastAsia"/>
      </w:rPr>
    </w:pPr>
    <w:r>
      <w:fldChar w:fldCharType="begin"/>
    </w:r>
    <w:r>
      <w:instrText xml:space="preserve"> PAGE</w:instrText>
    </w:r>
    <w:r>
      <w:instrText xml:space="preserve"> </w:instrText>
    </w:r>
    <w:r>
      <w:fldChar w:fldCharType="separate"/>
    </w:r>
    <w:r>
      <w:rPr>
        <w:rFonts w:hint="eastAsia"/>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D5DD8">
      <w:r>
        <w:separator/>
      </w:r>
    </w:p>
  </w:footnote>
  <w:footnote w:type="continuationSeparator" w:id="0">
    <w:p w:rsidR="00000000" w:rsidRDefault="00BD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83" w:rsidRDefault="00BD5DD8">
    <w:pPr>
      <w:pStyle w:val="HeaderFooter"/>
      <w:tabs>
        <w:tab w:val="clear" w:pos="9020"/>
        <w:tab w:val="center" w:pos="4513"/>
        <w:tab w:val="right" w:pos="9026"/>
      </w:tabs>
      <w:rPr>
        <w:rFonts w:hint="eastAsia"/>
      </w:rPr>
    </w:pPr>
    <w:r>
      <w:tab/>
    </w:r>
    <w:r>
      <w:tab/>
    </w:r>
    <w:r>
      <w:rPr>
        <w:lang w:val="en-US"/>
      </w:rPr>
      <w:t>Friday, 18 October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57AA"/>
    <w:multiLevelType w:val="hybridMultilevel"/>
    <w:tmpl w:val="A53697E8"/>
    <w:styleLink w:val="Dash"/>
    <w:lvl w:ilvl="0" w:tplc="DA989B2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727671A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AEEC483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8B48BCD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5A2EA2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07E418B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733677B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8ED624D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9E6A95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30DA64CB"/>
    <w:multiLevelType w:val="hybridMultilevel"/>
    <w:tmpl w:val="A53697E8"/>
    <w:numStyleLink w:val="Das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D8"/>
    <w:rsid w:val="00BD5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9DC5"/>
  <w15:docId w15:val="{EE55B054-BF8A-4BCE-B24A-717A51C0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2"/>
    <w:pPr>
      <w:keepNext/>
      <w:spacing w:before="200" w:after="200"/>
      <w:outlineLvl w:val="0"/>
    </w:pPr>
    <w:rPr>
      <w:rFonts w:ascii="Helvetica Neue" w:hAnsi="Helvetica Neue" w:cs="Arial Unicode MS"/>
      <w:b/>
      <w:bCs/>
      <w:color w:val="444444"/>
      <w:sz w:val="36"/>
      <w:szCs w:val="36"/>
      <w:lang w:val="en-US"/>
      <w14:textOutline w14:w="0" w14:cap="flat" w14:cmpd="sng" w14:algn="ctr">
        <w14:noFill/>
        <w14:prstDash w14:val="solid"/>
        <w14:bevel/>
      </w14:textOutline>
    </w:rPr>
  </w:style>
  <w:style w:type="paragraph" w:customStyle="1" w:styleId="Body2">
    <w:name w:val="Body 2"/>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Dash">
    <w:name w:val="Dash"/>
    <w:pPr>
      <w:numPr>
        <w:numId w:val="1"/>
      </w:numPr>
    </w:pPr>
  </w:style>
  <w:style w:type="paragraph" w:styleId="Header">
    <w:name w:val="header"/>
    <w:basedOn w:val="Normal"/>
    <w:link w:val="HeaderChar"/>
    <w:uiPriority w:val="99"/>
    <w:unhideWhenUsed/>
    <w:rsid w:val="002B540B"/>
    <w:pPr>
      <w:tabs>
        <w:tab w:val="center" w:pos="4513"/>
        <w:tab w:val="right" w:pos="9026"/>
      </w:tabs>
    </w:pPr>
  </w:style>
  <w:style w:type="character" w:customStyle="1" w:styleId="HeaderChar">
    <w:name w:val="Header Char"/>
    <w:basedOn w:val="DefaultParagraphFont"/>
    <w:link w:val="Header"/>
    <w:uiPriority w:val="99"/>
    <w:rsid w:val="002B540B"/>
    <w:rPr>
      <w:sz w:val="24"/>
      <w:szCs w:val="24"/>
      <w:lang w:val="en-US" w:eastAsia="en-US"/>
    </w:rPr>
  </w:style>
  <w:style w:type="paragraph" w:styleId="Footer">
    <w:name w:val="footer"/>
    <w:basedOn w:val="Normal"/>
    <w:link w:val="FooterChar"/>
    <w:uiPriority w:val="99"/>
    <w:unhideWhenUsed/>
    <w:rsid w:val="002B540B"/>
    <w:pPr>
      <w:tabs>
        <w:tab w:val="center" w:pos="4513"/>
        <w:tab w:val="right" w:pos="9026"/>
      </w:tabs>
    </w:pPr>
  </w:style>
  <w:style w:type="character" w:customStyle="1" w:styleId="FooterChar">
    <w:name w:val="Footer Char"/>
    <w:basedOn w:val="DefaultParagraphFont"/>
    <w:link w:val="Footer"/>
    <w:uiPriority w:val="99"/>
    <w:rsid w:val="002B540B"/>
    <w:rPr>
      <w:sz w:val="24"/>
      <w:szCs w:val="24"/>
      <w:lang w:val="en-US" w:eastAsia="en-US"/>
    </w:rPr>
  </w:style>
  <w:style w:type="character" w:styleId="CommentReference">
    <w:name w:val="annotation reference"/>
    <w:basedOn w:val="DefaultParagraphFont"/>
    <w:uiPriority w:val="99"/>
    <w:semiHidden/>
    <w:unhideWhenUsed/>
    <w:rsid w:val="007A1D42"/>
    <w:rPr>
      <w:sz w:val="16"/>
      <w:szCs w:val="16"/>
    </w:rPr>
  </w:style>
  <w:style w:type="paragraph" w:styleId="CommentText">
    <w:name w:val="annotation text"/>
    <w:basedOn w:val="Normal"/>
    <w:link w:val="CommentTextChar"/>
    <w:uiPriority w:val="99"/>
    <w:semiHidden/>
    <w:unhideWhenUsed/>
    <w:rsid w:val="007A1D42"/>
    <w:rPr>
      <w:sz w:val="20"/>
      <w:szCs w:val="20"/>
    </w:rPr>
  </w:style>
  <w:style w:type="character" w:customStyle="1" w:styleId="CommentTextChar">
    <w:name w:val="Comment Text Char"/>
    <w:basedOn w:val="DefaultParagraphFont"/>
    <w:link w:val="CommentText"/>
    <w:uiPriority w:val="99"/>
    <w:semiHidden/>
    <w:rsid w:val="007A1D42"/>
    <w:rPr>
      <w:lang w:val="en-US" w:eastAsia="en-US"/>
    </w:rPr>
  </w:style>
  <w:style w:type="paragraph" w:styleId="CommentSubject">
    <w:name w:val="annotation subject"/>
    <w:basedOn w:val="CommentText"/>
    <w:next w:val="CommentText"/>
    <w:link w:val="CommentSubjectChar"/>
    <w:uiPriority w:val="99"/>
    <w:semiHidden/>
    <w:unhideWhenUsed/>
    <w:rsid w:val="007A1D42"/>
    <w:rPr>
      <w:b/>
      <w:bCs/>
    </w:rPr>
  </w:style>
  <w:style w:type="character" w:customStyle="1" w:styleId="CommentSubjectChar">
    <w:name w:val="Comment Subject Char"/>
    <w:basedOn w:val="CommentTextChar"/>
    <w:link w:val="CommentSubject"/>
    <w:uiPriority w:val="99"/>
    <w:semiHidden/>
    <w:rsid w:val="007A1D42"/>
    <w:rPr>
      <w:b/>
      <w:bCs/>
      <w:lang w:val="en-US" w:eastAsia="en-US"/>
    </w:rPr>
  </w:style>
  <w:style w:type="paragraph" w:styleId="BalloonText">
    <w:name w:val="Balloon Text"/>
    <w:basedOn w:val="Normal"/>
    <w:link w:val="BalloonTextChar"/>
    <w:uiPriority w:val="99"/>
    <w:semiHidden/>
    <w:unhideWhenUsed/>
    <w:rsid w:val="007A1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D42"/>
    <w:rPr>
      <w:rFonts w:ascii="Segoe UI" w:hAnsi="Segoe UI" w:cs="Segoe UI"/>
      <w:sz w:val="18"/>
      <w:szCs w:val="18"/>
      <w:lang w:val="en-US" w:eastAsia="en-US"/>
    </w:rPr>
  </w:style>
  <w:style w:type="paragraph" w:styleId="BodyText">
    <w:name w:val="Body Text"/>
    <w:basedOn w:val="Normal"/>
    <w:link w:val="BodyTextChar"/>
    <w:qFormat/>
    <w:rsid w:val="0045674E"/>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bdr w:val="none" w:sz="0" w:space="0" w:color="auto"/>
    </w:rPr>
  </w:style>
  <w:style w:type="character" w:customStyle="1" w:styleId="BodyTextChar">
    <w:name w:val="Body Text Char"/>
    <w:basedOn w:val="DefaultParagraphFont"/>
    <w:link w:val="BodyText"/>
    <w:rsid w:val="0045674E"/>
    <w:rPr>
      <w:rFonts w:eastAsia="Times New Roman"/>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00_Note-taking">
  <a:themeElements>
    <a:clrScheme name="00_Note-taking">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Note-taking">
      <a:majorFont>
        <a:latin typeface="Helvetica Neue"/>
        <a:ea typeface="Helvetica Neue"/>
        <a:cs typeface="Helvetica Neue"/>
      </a:majorFont>
      <a:minorFont>
        <a:latin typeface="Helvetica Neue"/>
        <a:ea typeface="Helvetica Neue"/>
        <a:cs typeface="Helvetica Neue"/>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 Highet</dc:creator>
  <cp:lastModifiedBy>Karyn Highet</cp:lastModifiedBy>
  <cp:revision>2</cp:revision>
  <dcterms:created xsi:type="dcterms:W3CDTF">2019-11-13T15:16:00Z</dcterms:created>
  <dcterms:modified xsi:type="dcterms:W3CDTF">2019-11-13T15:16:00Z</dcterms:modified>
</cp:coreProperties>
</file>